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02530" w14:textId="54922405" w:rsidR="00D30249" w:rsidRPr="006F4CA2" w:rsidRDefault="00D30249" w:rsidP="00453C6E">
      <w:pPr>
        <w:spacing w:after="0"/>
        <w:jc w:val="center"/>
        <w:rPr>
          <w:b/>
          <w:color w:val="2F5496" w:themeColor="accent5" w:themeShade="BF"/>
          <w:sz w:val="28"/>
          <w:szCs w:val="28"/>
        </w:rPr>
      </w:pPr>
      <w:r w:rsidRPr="006F4CA2">
        <w:rPr>
          <w:b/>
          <w:color w:val="2F5496" w:themeColor="accent5" w:themeShade="BF"/>
          <w:sz w:val="28"/>
          <w:szCs w:val="28"/>
        </w:rPr>
        <w:t>Summary of Policy</w:t>
      </w:r>
      <w:r w:rsidR="00053173" w:rsidRPr="006F4CA2">
        <w:rPr>
          <w:b/>
          <w:color w:val="2F5496" w:themeColor="accent5" w:themeShade="BF"/>
          <w:sz w:val="28"/>
          <w:szCs w:val="28"/>
        </w:rPr>
        <w:t xml:space="preserve"> and Document</w:t>
      </w:r>
      <w:r w:rsidRPr="006F4CA2">
        <w:rPr>
          <w:b/>
          <w:color w:val="2F5496" w:themeColor="accent5" w:themeShade="BF"/>
          <w:sz w:val="28"/>
          <w:szCs w:val="28"/>
        </w:rPr>
        <w:t xml:space="preserve"> Changes – </w:t>
      </w:r>
      <w:r w:rsidR="00A173E7">
        <w:rPr>
          <w:b/>
          <w:color w:val="2F5496" w:themeColor="accent5" w:themeShade="BF"/>
          <w:sz w:val="28"/>
          <w:szCs w:val="28"/>
        </w:rPr>
        <w:t>July</w:t>
      </w:r>
      <w:r w:rsidR="006F4CA2" w:rsidRPr="006F4CA2">
        <w:rPr>
          <w:b/>
          <w:color w:val="2F5496" w:themeColor="accent5" w:themeShade="BF"/>
          <w:sz w:val="28"/>
          <w:szCs w:val="28"/>
        </w:rPr>
        <w:t xml:space="preserve"> 2024</w:t>
      </w:r>
    </w:p>
    <w:p w14:paraId="02EB378F" w14:textId="77777777" w:rsidR="00453C6E" w:rsidRPr="00065D56" w:rsidRDefault="00453C6E" w:rsidP="00453C6E">
      <w:pPr>
        <w:spacing w:after="0"/>
        <w:rPr>
          <w:b/>
          <w:sz w:val="16"/>
          <w:szCs w:val="16"/>
        </w:rPr>
      </w:pPr>
    </w:p>
    <w:tbl>
      <w:tblPr>
        <w:tblStyle w:val="TableGrid"/>
        <w:tblW w:w="14737" w:type="dxa"/>
        <w:jc w:val="center"/>
        <w:tblLook w:val="04A0" w:firstRow="1" w:lastRow="0" w:firstColumn="1" w:lastColumn="0" w:noHBand="0" w:noVBand="1"/>
      </w:tblPr>
      <w:tblGrid>
        <w:gridCol w:w="2690"/>
        <w:gridCol w:w="2330"/>
        <w:gridCol w:w="7875"/>
        <w:gridCol w:w="1842"/>
      </w:tblGrid>
      <w:tr w:rsidR="00375878" w14:paraId="2D461450" w14:textId="53DD6F93" w:rsidTr="00322CC7">
        <w:trPr>
          <w:jc w:val="center"/>
        </w:trPr>
        <w:tc>
          <w:tcPr>
            <w:tcW w:w="2690" w:type="dxa"/>
            <w:shd w:val="clear" w:color="auto" w:fill="D9D9D9" w:themeFill="background1" w:themeFillShade="D9"/>
          </w:tcPr>
          <w:p w14:paraId="0A9D8EF0" w14:textId="618E344B" w:rsidR="00375878" w:rsidRPr="002A7646" w:rsidRDefault="00375878" w:rsidP="006F1A05">
            <w:pPr>
              <w:rPr>
                <w:rFonts w:ascii="Calibri" w:eastAsia="Times New Roman" w:hAnsi="Calibri" w:cs="Calibri"/>
                <w:b/>
                <w:color w:val="000000"/>
              </w:rPr>
            </w:pPr>
            <w:r w:rsidRPr="002A7646">
              <w:rPr>
                <w:rFonts w:ascii="Calibri" w:eastAsia="Times New Roman" w:hAnsi="Calibri" w:cs="Calibri"/>
                <w:b/>
                <w:color w:val="000000"/>
              </w:rPr>
              <w:t>Policy Name</w:t>
            </w:r>
          </w:p>
        </w:tc>
        <w:tc>
          <w:tcPr>
            <w:tcW w:w="2330" w:type="dxa"/>
            <w:shd w:val="clear" w:color="auto" w:fill="D9D9D9" w:themeFill="background1" w:themeFillShade="D9"/>
          </w:tcPr>
          <w:p w14:paraId="59814D06" w14:textId="5B2EE787" w:rsidR="00375878" w:rsidRPr="00B547AC" w:rsidRDefault="00375878" w:rsidP="006F1A05">
            <w:pPr>
              <w:rPr>
                <w:rFonts w:ascii="Calibri" w:eastAsia="Times New Roman" w:hAnsi="Calibri" w:cs="Calibri"/>
                <w:b/>
                <w:color w:val="000000"/>
              </w:rPr>
            </w:pPr>
            <w:r w:rsidRPr="00B547AC">
              <w:rPr>
                <w:rFonts w:ascii="Calibri" w:eastAsia="Times New Roman" w:hAnsi="Calibri" w:cs="Calibri"/>
                <w:b/>
                <w:color w:val="000000"/>
              </w:rPr>
              <w:t>Owner</w:t>
            </w:r>
            <w:r>
              <w:rPr>
                <w:rFonts w:ascii="Calibri" w:eastAsia="Times New Roman" w:hAnsi="Calibri" w:cs="Calibri"/>
                <w:b/>
                <w:color w:val="000000"/>
              </w:rPr>
              <w:t>/Source</w:t>
            </w:r>
          </w:p>
        </w:tc>
        <w:tc>
          <w:tcPr>
            <w:tcW w:w="7875" w:type="dxa"/>
            <w:shd w:val="clear" w:color="auto" w:fill="D9D9D9" w:themeFill="background1" w:themeFillShade="D9"/>
          </w:tcPr>
          <w:p w14:paraId="5074D617" w14:textId="289884FD" w:rsidR="00375878" w:rsidRPr="00B547AC" w:rsidRDefault="00375878" w:rsidP="006F1A05">
            <w:pPr>
              <w:rPr>
                <w:rFonts w:ascii="Calibri" w:eastAsia="Times New Roman" w:hAnsi="Calibri" w:cs="Calibri"/>
                <w:b/>
                <w:color w:val="000000"/>
              </w:rPr>
            </w:pPr>
            <w:r w:rsidRPr="00B547AC">
              <w:rPr>
                <w:rFonts w:ascii="Calibri" w:eastAsia="Times New Roman" w:hAnsi="Calibri" w:cs="Calibri"/>
                <w:b/>
                <w:color w:val="000000"/>
              </w:rPr>
              <w:t>Summary of Changes</w:t>
            </w:r>
            <w:r>
              <w:rPr>
                <w:rFonts w:ascii="Calibri" w:eastAsia="Times New Roman" w:hAnsi="Calibri" w:cs="Calibri"/>
                <w:b/>
                <w:color w:val="000000"/>
              </w:rPr>
              <w:t>/Update</w:t>
            </w:r>
          </w:p>
        </w:tc>
        <w:tc>
          <w:tcPr>
            <w:tcW w:w="1842" w:type="dxa"/>
            <w:shd w:val="clear" w:color="auto" w:fill="D9D9D9" w:themeFill="background1" w:themeFillShade="D9"/>
          </w:tcPr>
          <w:p w14:paraId="710E29AC" w14:textId="3265DA60" w:rsidR="00375878" w:rsidRPr="00B547AC" w:rsidRDefault="00375878" w:rsidP="006F1A05">
            <w:pPr>
              <w:rPr>
                <w:rFonts w:ascii="Calibri" w:eastAsia="Times New Roman" w:hAnsi="Calibri" w:cs="Calibri"/>
                <w:b/>
                <w:color w:val="000000"/>
              </w:rPr>
            </w:pPr>
            <w:r>
              <w:rPr>
                <w:rFonts w:ascii="Calibri" w:eastAsia="Times New Roman" w:hAnsi="Calibri" w:cs="Calibri"/>
                <w:b/>
                <w:color w:val="000000"/>
              </w:rPr>
              <w:t>Notes</w:t>
            </w:r>
          </w:p>
        </w:tc>
      </w:tr>
      <w:tr w:rsidR="00375878" w14:paraId="52AE5255" w14:textId="4761B26E" w:rsidTr="00322CC7">
        <w:trPr>
          <w:jc w:val="center"/>
        </w:trPr>
        <w:tc>
          <w:tcPr>
            <w:tcW w:w="2690" w:type="dxa"/>
          </w:tcPr>
          <w:p w14:paraId="74860060" w14:textId="51550DEE" w:rsidR="00375878" w:rsidRPr="00992191" w:rsidRDefault="0054255D" w:rsidP="0054255D">
            <w:pPr>
              <w:rPr>
                <w:rFonts w:ascii="Calibri" w:eastAsia="Times New Roman" w:hAnsi="Calibri" w:cs="Calibri"/>
                <w:b/>
                <w:color w:val="FF0000"/>
              </w:rPr>
            </w:pPr>
            <w:r w:rsidRPr="00992191">
              <w:rPr>
                <w:rFonts w:ascii="Calibri" w:eastAsia="Times New Roman" w:hAnsi="Calibri" w:cs="Calibri"/>
                <w:b/>
                <w:color w:val="0D0D0D" w:themeColor="text1" w:themeTint="F2"/>
              </w:rPr>
              <w:t>Acceptable Use Policy &amp; Agreement</w:t>
            </w:r>
          </w:p>
        </w:tc>
        <w:tc>
          <w:tcPr>
            <w:tcW w:w="2330" w:type="dxa"/>
          </w:tcPr>
          <w:p w14:paraId="1B6EECE9" w14:textId="77777777" w:rsidR="0054255D" w:rsidRPr="00992191" w:rsidRDefault="0054255D" w:rsidP="0054255D">
            <w:pPr>
              <w:rPr>
                <w:rFonts w:ascii="Calibri" w:eastAsia="Times New Roman" w:hAnsi="Calibri" w:cs="Calibri"/>
                <w:color w:val="000000"/>
              </w:rPr>
            </w:pPr>
            <w:r w:rsidRPr="00992191">
              <w:rPr>
                <w:rFonts w:ascii="Calibri" w:eastAsia="Times New Roman" w:hAnsi="Calibri" w:cs="Calibri"/>
                <w:color w:val="000000"/>
              </w:rPr>
              <w:t>Director of Operations</w:t>
            </w:r>
          </w:p>
          <w:p w14:paraId="53C94F5F" w14:textId="12B54671" w:rsidR="00375878" w:rsidRPr="00992191" w:rsidRDefault="0054255D" w:rsidP="0054255D">
            <w:pPr>
              <w:rPr>
                <w:rFonts w:ascii="Calibri" w:eastAsia="Times New Roman" w:hAnsi="Calibri" w:cs="Calibri"/>
                <w:color w:val="FF0000"/>
              </w:rPr>
            </w:pPr>
            <w:r w:rsidRPr="00992191">
              <w:rPr>
                <w:rFonts w:ascii="Calibri" w:eastAsia="Times New Roman" w:hAnsi="Calibri" w:cs="Calibri"/>
                <w:color w:val="000000"/>
              </w:rPr>
              <w:t>Judicium</w:t>
            </w:r>
          </w:p>
        </w:tc>
        <w:tc>
          <w:tcPr>
            <w:tcW w:w="7875" w:type="dxa"/>
          </w:tcPr>
          <w:p w14:paraId="23786BEE" w14:textId="2C63DF43" w:rsidR="00516665" w:rsidRPr="00992191" w:rsidRDefault="00516665" w:rsidP="004062FC">
            <w:pPr>
              <w:rPr>
                <w:rFonts w:ascii="Calibri" w:eastAsia="Times New Roman" w:hAnsi="Calibri" w:cs="Calibri"/>
                <w:color w:val="000000"/>
              </w:rPr>
            </w:pPr>
            <w:r w:rsidRPr="00992191">
              <w:rPr>
                <w:rFonts w:ascii="Calibri" w:eastAsia="Times New Roman" w:hAnsi="Calibri" w:cs="Calibri"/>
                <w:color w:val="000000"/>
              </w:rPr>
              <w:t>Addition of paragraph re use of WhatsApp</w:t>
            </w:r>
            <w:r w:rsidR="00322CC7" w:rsidRPr="00992191">
              <w:rPr>
                <w:rFonts w:ascii="Calibri" w:eastAsia="Times New Roman" w:hAnsi="Calibri" w:cs="Calibri"/>
                <w:color w:val="000000"/>
              </w:rPr>
              <w:t xml:space="preserve"> - the </w:t>
            </w:r>
            <w:r w:rsidR="00D2034E" w:rsidRPr="00992191">
              <w:rPr>
                <w:rFonts w:ascii="Calibri" w:eastAsia="Times New Roman" w:hAnsi="Calibri" w:cs="Calibri"/>
                <w:color w:val="000000"/>
              </w:rPr>
              <w:t>WhatsApp</w:t>
            </w:r>
            <w:r w:rsidR="00322CC7" w:rsidRPr="00992191">
              <w:rPr>
                <w:rFonts w:ascii="Calibri" w:eastAsia="Times New Roman" w:hAnsi="Calibri" w:cs="Calibri"/>
                <w:color w:val="000000"/>
              </w:rPr>
              <w:t xml:space="preserve"> paragraph from Judicium is optional to adopt as part of the policy.  It was felt that it would be beneficial to add this in, but has been altered slightly to become far more practical in terms of messaging in general, but has outlined that use MUST be limited, and that should a Subject Access request be made, what the potential outcome of that request might be</w:t>
            </w:r>
          </w:p>
          <w:p w14:paraId="3A234A6A" w14:textId="70D93C90" w:rsidR="00375878" w:rsidRPr="00992191" w:rsidRDefault="00516665" w:rsidP="004062FC">
            <w:pPr>
              <w:rPr>
                <w:rFonts w:ascii="Calibri" w:eastAsia="Times New Roman" w:hAnsi="Calibri" w:cs="Calibri"/>
                <w:color w:val="000000"/>
              </w:rPr>
            </w:pPr>
            <w:r w:rsidRPr="00992191">
              <w:rPr>
                <w:rFonts w:ascii="Calibri" w:eastAsia="Times New Roman" w:hAnsi="Calibri" w:cs="Calibri"/>
                <w:color w:val="000000"/>
              </w:rPr>
              <w:t>Direct users to DoO where they see content shared to be in conflict with role within Trust/setting (was CEO)</w:t>
            </w:r>
          </w:p>
          <w:p w14:paraId="592E1225" w14:textId="77777777" w:rsidR="00322CC7" w:rsidRPr="00992191" w:rsidRDefault="00322CC7" w:rsidP="00322CC7">
            <w:pPr>
              <w:rPr>
                <w:rFonts w:ascii="Calibri" w:eastAsia="Times New Roman" w:hAnsi="Calibri" w:cs="Calibri"/>
                <w:color w:val="000000"/>
              </w:rPr>
            </w:pPr>
            <w:r w:rsidRPr="00992191">
              <w:rPr>
                <w:rFonts w:ascii="Calibri" w:eastAsia="Times New Roman" w:hAnsi="Calibri" w:cs="Calibri"/>
                <w:color w:val="000000"/>
              </w:rPr>
              <w:t>Addition of ‘trustees’ within groups that policy is applicable to</w:t>
            </w:r>
          </w:p>
          <w:p w14:paraId="6CF6C9F3" w14:textId="6B4E691C" w:rsidR="00A83B76" w:rsidRPr="00992191" w:rsidRDefault="00A83B76" w:rsidP="004062FC">
            <w:pPr>
              <w:rPr>
                <w:rFonts w:ascii="Calibri" w:eastAsia="Times New Roman" w:hAnsi="Calibri" w:cs="Calibri"/>
                <w:color w:val="FF0000"/>
              </w:rPr>
            </w:pPr>
          </w:p>
        </w:tc>
        <w:tc>
          <w:tcPr>
            <w:tcW w:w="1842" w:type="dxa"/>
          </w:tcPr>
          <w:p w14:paraId="0A07050C" w14:textId="5DA86C3D" w:rsidR="00375878" w:rsidRPr="00992191" w:rsidRDefault="00516665" w:rsidP="007452F2">
            <w:pPr>
              <w:rPr>
                <w:rFonts w:ascii="Calibri" w:eastAsia="Times New Roman" w:hAnsi="Calibri" w:cs="Calibri"/>
                <w:color w:val="FF0000"/>
              </w:rPr>
            </w:pPr>
            <w:r w:rsidRPr="00992191">
              <w:rPr>
                <w:rFonts w:ascii="Calibri" w:eastAsia="Times New Roman" w:hAnsi="Calibri" w:cs="Calibri"/>
                <w:color w:val="000000"/>
              </w:rPr>
              <w:t>Changes are highlighted within document</w:t>
            </w:r>
          </w:p>
        </w:tc>
      </w:tr>
      <w:tr w:rsidR="00375878" w14:paraId="511F0C50" w14:textId="4A596417" w:rsidTr="00322CC7">
        <w:trPr>
          <w:jc w:val="center"/>
        </w:trPr>
        <w:tc>
          <w:tcPr>
            <w:tcW w:w="2690" w:type="dxa"/>
          </w:tcPr>
          <w:p w14:paraId="45DC99B9" w14:textId="4CC2B6BD" w:rsidR="00375878" w:rsidRPr="00992191" w:rsidRDefault="00B2628A" w:rsidP="006F1A05">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Capability Policy</w:t>
            </w:r>
          </w:p>
        </w:tc>
        <w:tc>
          <w:tcPr>
            <w:tcW w:w="2330" w:type="dxa"/>
          </w:tcPr>
          <w:p w14:paraId="50A7D828" w14:textId="77777777" w:rsidR="00B2628A" w:rsidRPr="00992191" w:rsidRDefault="00B2628A" w:rsidP="00B2628A">
            <w:pPr>
              <w:rPr>
                <w:rFonts w:ascii="Calibri" w:eastAsia="Times New Roman" w:hAnsi="Calibri" w:cs="Calibri"/>
                <w:color w:val="000000"/>
              </w:rPr>
            </w:pPr>
            <w:r w:rsidRPr="00992191">
              <w:rPr>
                <w:rFonts w:ascii="Calibri" w:eastAsia="Times New Roman" w:hAnsi="Calibri" w:cs="Calibri"/>
                <w:color w:val="000000"/>
              </w:rPr>
              <w:t>Director of Operations</w:t>
            </w:r>
          </w:p>
          <w:p w14:paraId="3B022D84" w14:textId="521C5D7B" w:rsidR="00375878" w:rsidRPr="00992191" w:rsidRDefault="00B2628A" w:rsidP="00B2628A">
            <w:pPr>
              <w:rPr>
                <w:rFonts w:ascii="Calibri" w:eastAsia="Times New Roman" w:hAnsi="Calibri" w:cs="Calibri"/>
                <w:color w:val="FF0000"/>
              </w:rPr>
            </w:pPr>
            <w:r w:rsidRPr="00992191">
              <w:rPr>
                <w:rFonts w:ascii="Calibri" w:eastAsia="Times New Roman" w:hAnsi="Calibri" w:cs="Calibri"/>
                <w:color w:val="000000"/>
              </w:rPr>
              <w:t>HR Connect</w:t>
            </w:r>
          </w:p>
        </w:tc>
        <w:tc>
          <w:tcPr>
            <w:tcW w:w="7875" w:type="dxa"/>
          </w:tcPr>
          <w:p w14:paraId="7D51C0CB" w14:textId="486E038E" w:rsidR="00B2628A" w:rsidRPr="00992191" w:rsidRDefault="00992191" w:rsidP="0080252F">
            <w:pPr>
              <w:pStyle w:val="elementtoproof"/>
              <w:rPr>
                <w:rFonts w:ascii="Calibri" w:eastAsia="Times New Roman" w:hAnsi="Calibri" w:cs="Calibri"/>
                <w:color w:val="000000"/>
                <w:sz w:val="22"/>
                <w:szCs w:val="22"/>
                <w:lang w:eastAsia="en-US"/>
              </w:rPr>
            </w:pPr>
            <w:r w:rsidRPr="00992191">
              <w:rPr>
                <w:rFonts w:ascii="Calibri" w:eastAsia="Times New Roman" w:hAnsi="Calibri" w:cs="Calibri"/>
                <w:color w:val="000000"/>
                <w:sz w:val="22"/>
                <w:szCs w:val="22"/>
                <w:lang w:eastAsia="en-US"/>
              </w:rPr>
              <w:t>This is an HR Connect template that has been adapted to dovetail with our ‘Growing Great’ appraisal policy. Please note that the adaptations have not made material changes to the processes, but it has strengthened the link between informal action undertaken within the appraisal process with the link of how that would then become a more formal process which will assist Headteachers/line managers in managing that transition.</w:t>
            </w:r>
          </w:p>
          <w:p w14:paraId="5D98FC97" w14:textId="1F0AD31D" w:rsidR="00B2628A" w:rsidRPr="00992191" w:rsidRDefault="00B2628A" w:rsidP="0080252F">
            <w:pPr>
              <w:pStyle w:val="elementtoproof"/>
              <w:rPr>
                <w:rFonts w:ascii="Calibri" w:eastAsia="Times New Roman" w:hAnsi="Calibri" w:cs="Calibri"/>
                <w:color w:val="FF0000"/>
              </w:rPr>
            </w:pPr>
          </w:p>
        </w:tc>
        <w:tc>
          <w:tcPr>
            <w:tcW w:w="1842" w:type="dxa"/>
          </w:tcPr>
          <w:p w14:paraId="6261B22D" w14:textId="77777777" w:rsidR="00375878" w:rsidRPr="00992191" w:rsidRDefault="00375878" w:rsidP="00375878">
            <w:pPr>
              <w:rPr>
                <w:rFonts w:ascii="Calibri" w:eastAsia="Times New Roman" w:hAnsi="Calibri" w:cs="Calibri"/>
                <w:color w:val="FF0000"/>
              </w:rPr>
            </w:pPr>
          </w:p>
        </w:tc>
      </w:tr>
      <w:tr w:rsidR="00992191" w14:paraId="172157BC" w14:textId="77777777" w:rsidTr="00322CC7">
        <w:trPr>
          <w:jc w:val="center"/>
        </w:trPr>
        <w:tc>
          <w:tcPr>
            <w:tcW w:w="2690" w:type="dxa"/>
          </w:tcPr>
          <w:p w14:paraId="48FCD9F6" w14:textId="1D7438E9" w:rsidR="00992191" w:rsidRPr="00992191" w:rsidRDefault="00992191" w:rsidP="006F1A05">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Code of Conduct</w:t>
            </w:r>
          </w:p>
        </w:tc>
        <w:tc>
          <w:tcPr>
            <w:tcW w:w="2330" w:type="dxa"/>
          </w:tcPr>
          <w:p w14:paraId="73EA761C"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Director of Operations</w:t>
            </w:r>
          </w:p>
          <w:p w14:paraId="27428ED5" w14:textId="04C21579"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HR Connect</w:t>
            </w:r>
          </w:p>
        </w:tc>
        <w:tc>
          <w:tcPr>
            <w:tcW w:w="7875" w:type="dxa"/>
          </w:tcPr>
          <w:p w14:paraId="5376BC41"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xml:space="preserve">Please note this policy is </w:t>
            </w:r>
            <w:proofErr w:type="gramStart"/>
            <w:r w:rsidRPr="00992191">
              <w:rPr>
                <w:rFonts w:ascii="Calibri" w:eastAsia="Times New Roman" w:hAnsi="Calibri" w:cs="Calibri"/>
                <w:color w:val="000000"/>
              </w:rPr>
              <w:t>an</w:t>
            </w:r>
            <w:proofErr w:type="gramEnd"/>
            <w:r w:rsidRPr="00992191">
              <w:rPr>
                <w:rFonts w:ascii="Calibri" w:eastAsia="Times New Roman" w:hAnsi="Calibri" w:cs="Calibri"/>
                <w:color w:val="000000"/>
              </w:rPr>
              <w:t xml:space="preserve"> </w:t>
            </w:r>
            <w:proofErr w:type="spellStart"/>
            <w:r w:rsidRPr="00992191">
              <w:rPr>
                <w:rFonts w:ascii="Calibri" w:eastAsia="Times New Roman" w:hAnsi="Calibri" w:cs="Calibri"/>
                <w:color w:val="000000"/>
              </w:rPr>
              <w:t>HRConnect</w:t>
            </w:r>
            <w:proofErr w:type="spellEnd"/>
            <w:r w:rsidRPr="00992191">
              <w:rPr>
                <w:rFonts w:ascii="Calibri" w:eastAsia="Times New Roman" w:hAnsi="Calibri" w:cs="Calibri"/>
                <w:color w:val="000000"/>
              </w:rPr>
              <w:t xml:space="preserve"> template, which aligns and dovetails to support the Disciplinary Policy.  It is extensive and comprehensive and builds on the Everychild Partnership one, with a few new areas of note.  These are things that are implicit expectations but they have been more explicitly detailed.</w:t>
            </w:r>
          </w:p>
          <w:p w14:paraId="0D20E09C"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w:t>
            </w:r>
          </w:p>
          <w:p w14:paraId="41556FBA"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Conduct outside work – expansion on previous policy</w:t>
            </w:r>
          </w:p>
          <w:p w14:paraId="05AC0F1C"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Dress and presentation - Piercings</w:t>
            </w:r>
          </w:p>
          <w:p w14:paraId="34CC6529"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Secondary Employment (new)</w:t>
            </w:r>
          </w:p>
          <w:p w14:paraId="2051B462"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lastRenderedPageBreak/>
              <w:t>Contact with the media (new)</w:t>
            </w:r>
          </w:p>
          <w:p w14:paraId="7981C8F3"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Part C – expansion taken from KCSIE</w:t>
            </w:r>
          </w:p>
          <w:p w14:paraId="0306F8B5"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Part D – new but pulls together from various trust GDPR policies</w:t>
            </w:r>
          </w:p>
          <w:p w14:paraId="3D7FF6EB"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Part E – new but pulls from the Finance Policy and Trust procedures in line with Academies Handbook</w:t>
            </w:r>
          </w:p>
          <w:p w14:paraId="713073EE"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Personal Relationships at Work (new) setting clear guidelines.</w:t>
            </w:r>
          </w:p>
          <w:p w14:paraId="6ADC6B24"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Political activity (new)</w:t>
            </w:r>
          </w:p>
          <w:p w14:paraId="250743AF"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Intellectual property (new)</w:t>
            </w:r>
          </w:p>
          <w:p w14:paraId="3F6E3A66" w14:textId="77777777" w:rsidR="00992191" w:rsidRPr="00992191" w:rsidRDefault="00992191" w:rsidP="0080252F">
            <w:pPr>
              <w:pStyle w:val="elementtoproof"/>
              <w:rPr>
                <w:rFonts w:ascii="Calibri" w:eastAsia="Times New Roman" w:hAnsi="Calibri" w:cs="Calibri"/>
                <w:color w:val="000000"/>
                <w:sz w:val="22"/>
                <w:szCs w:val="22"/>
                <w:lang w:eastAsia="en-US"/>
              </w:rPr>
            </w:pPr>
          </w:p>
        </w:tc>
        <w:tc>
          <w:tcPr>
            <w:tcW w:w="1842" w:type="dxa"/>
          </w:tcPr>
          <w:p w14:paraId="02C33DAA" w14:textId="77777777" w:rsidR="00992191" w:rsidRPr="00992191" w:rsidRDefault="00992191" w:rsidP="00375878">
            <w:pPr>
              <w:rPr>
                <w:rFonts w:ascii="Calibri" w:eastAsia="Times New Roman" w:hAnsi="Calibri" w:cs="Calibri"/>
                <w:color w:val="FF0000"/>
              </w:rPr>
            </w:pPr>
          </w:p>
        </w:tc>
      </w:tr>
      <w:tr w:rsidR="00B2628A" w14:paraId="19718071" w14:textId="58FD50CC" w:rsidTr="00322CC7">
        <w:trPr>
          <w:jc w:val="center"/>
        </w:trPr>
        <w:tc>
          <w:tcPr>
            <w:tcW w:w="2690" w:type="dxa"/>
          </w:tcPr>
          <w:p w14:paraId="3E014C44" w14:textId="38812057" w:rsidR="00B2628A" w:rsidRPr="00992191" w:rsidRDefault="00B2628A" w:rsidP="00B2628A">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Cookie Policy</w:t>
            </w:r>
          </w:p>
        </w:tc>
        <w:tc>
          <w:tcPr>
            <w:tcW w:w="2330" w:type="dxa"/>
          </w:tcPr>
          <w:p w14:paraId="4CC26998" w14:textId="77777777" w:rsidR="00B2628A" w:rsidRPr="00992191" w:rsidRDefault="00B2628A" w:rsidP="00B2628A">
            <w:pPr>
              <w:rPr>
                <w:rFonts w:ascii="Calibri" w:eastAsia="Times New Roman" w:hAnsi="Calibri" w:cs="Calibri"/>
                <w:color w:val="000000"/>
              </w:rPr>
            </w:pPr>
            <w:r w:rsidRPr="00992191">
              <w:rPr>
                <w:rFonts w:ascii="Calibri" w:eastAsia="Times New Roman" w:hAnsi="Calibri" w:cs="Calibri"/>
                <w:color w:val="000000"/>
              </w:rPr>
              <w:t>Director of Operations</w:t>
            </w:r>
          </w:p>
          <w:p w14:paraId="52D7AF28" w14:textId="5959CAB4" w:rsidR="00B2628A" w:rsidRPr="00992191" w:rsidRDefault="00B2628A" w:rsidP="00B2628A">
            <w:pPr>
              <w:rPr>
                <w:rFonts w:ascii="Calibri" w:eastAsia="Times New Roman" w:hAnsi="Calibri" w:cs="Calibri"/>
                <w:color w:val="FF0000"/>
              </w:rPr>
            </w:pPr>
            <w:r w:rsidRPr="00992191">
              <w:rPr>
                <w:rFonts w:ascii="Calibri" w:eastAsia="Times New Roman" w:hAnsi="Calibri" w:cs="Calibri"/>
                <w:color w:val="000000"/>
              </w:rPr>
              <w:t>HR Connect</w:t>
            </w:r>
          </w:p>
        </w:tc>
        <w:tc>
          <w:tcPr>
            <w:tcW w:w="7875" w:type="dxa"/>
          </w:tcPr>
          <w:p w14:paraId="3767854C" w14:textId="64C2371A" w:rsidR="00B2628A" w:rsidRPr="00992191" w:rsidRDefault="00B2628A" w:rsidP="00B2628A">
            <w:pPr>
              <w:rPr>
                <w:rFonts w:ascii="Calibri" w:eastAsia="Times New Roman" w:hAnsi="Calibri" w:cs="Calibri"/>
                <w:color w:val="FF0000"/>
              </w:rPr>
            </w:pPr>
            <w:r w:rsidRPr="00992191">
              <w:rPr>
                <w:rFonts w:ascii="Calibri" w:eastAsia="Times New Roman" w:hAnsi="Calibri" w:cs="Calibri"/>
                <w:color w:val="000000"/>
              </w:rPr>
              <w:t>Removed paragraph which referenced targeted cookies</w:t>
            </w:r>
          </w:p>
        </w:tc>
        <w:tc>
          <w:tcPr>
            <w:tcW w:w="1842" w:type="dxa"/>
          </w:tcPr>
          <w:p w14:paraId="091183E5" w14:textId="76EA8611" w:rsidR="00B2628A" w:rsidRPr="00992191" w:rsidRDefault="00B2628A" w:rsidP="00B2628A">
            <w:pPr>
              <w:rPr>
                <w:rFonts w:ascii="Calibri" w:eastAsia="Times New Roman" w:hAnsi="Calibri" w:cs="Calibri"/>
                <w:color w:val="FF0000"/>
              </w:rPr>
            </w:pPr>
          </w:p>
        </w:tc>
      </w:tr>
      <w:tr w:rsidR="00B2628A" w14:paraId="41CE3D50" w14:textId="745A46F1" w:rsidTr="00322CC7">
        <w:trPr>
          <w:jc w:val="center"/>
        </w:trPr>
        <w:tc>
          <w:tcPr>
            <w:tcW w:w="2690" w:type="dxa"/>
          </w:tcPr>
          <w:p w14:paraId="0D2F8203" w14:textId="51465D8B" w:rsidR="00B2628A" w:rsidRPr="00992191" w:rsidRDefault="00322CC7" w:rsidP="00322CC7">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Data Protection Policy with SAR</w:t>
            </w:r>
          </w:p>
        </w:tc>
        <w:tc>
          <w:tcPr>
            <w:tcW w:w="2330" w:type="dxa"/>
          </w:tcPr>
          <w:p w14:paraId="5692CC97" w14:textId="77777777" w:rsidR="00322CC7" w:rsidRPr="00992191" w:rsidRDefault="00322CC7" w:rsidP="00322CC7">
            <w:pPr>
              <w:rPr>
                <w:rFonts w:ascii="Calibri" w:eastAsia="Times New Roman" w:hAnsi="Calibri" w:cs="Calibri"/>
                <w:color w:val="000000"/>
              </w:rPr>
            </w:pPr>
            <w:r w:rsidRPr="00992191">
              <w:rPr>
                <w:rFonts w:ascii="Calibri" w:eastAsia="Times New Roman" w:hAnsi="Calibri" w:cs="Calibri"/>
                <w:color w:val="000000"/>
              </w:rPr>
              <w:t>Director of Operations</w:t>
            </w:r>
          </w:p>
          <w:p w14:paraId="729B650F" w14:textId="58BFA109" w:rsidR="00B2628A" w:rsidRPr="00992191" w:rsidRDefault="00322CC7" w:rsidP="00322CC7">
            <w:pPr>
              <w:rPr>
                <w:rFonts w:ascii="Calibri" w:eastAsia="Times New Roman" w:hAnsi="Calibri" w:cs="Calibri"/>
                <w:color w:val="000000"/>
              </w:rPr>
            </w:pPr>
            <w:r w:rsidRPr="00992191">
              <w:rPr>
                <w:rFonts w:ascii="Calibri" w:eastAsia="Times New Roman" w:hAnsi="Calibri" w:cs="Calibri"/>
                <w:color w:val="000000"/>
              </w:rPr>
              <w:t>Judicium</w:t>
            </w:r>
          </w:p>
        </w:tc>
        <w:tc>
          <w:tcPr>
            <w:tcW w:w="7875" w:type="dxa"/>
          </w:tcPr>
          <w:p w14:paraId="4E80E496" w14:textId="6C92BDC3" w:rsidR="00B2628A" w:rsidRPr="00992191" w:rsidRDefault="00322CC7" w:rsidP="00B2628A">
            <w:pPr>
              <w:rPr>
                <w:rFonts w:ascii="Calibri" w:eastAsia="Times New Roman" w:hAnsi="Calibri" w:cs="Calibri"/>
                <w:color w:val="000000"/>
              </w:rPr>
            </w:pPr>
            <w:r w:rsidRPr="00992191">
              <w:rPr>
                <w:rFonts w:ascii="Calibri" w:eastAsia="Times New Roman" w:hAnsi="Calibri" w:cs="Calibri"/>
                <w:color w:val="000000"/>
              </w:rPr>
              <w:t>Format changes/removed references to former staff members.</w:t>
            </w:r>
          </w:p>
        </w:tc>
        <w:tc>
          <w:tcPr>
            <w:tcW w:w="1842" w:type="dxa"/>
          </w:tcPr>
          <w:p w14:paraId="4660738D" w14:textId="6431A495" w:rsidR="00B2628A" w:rsidRPr="00992191" w:rsidRDefault="00B2628A" w:rsidP="00B2628A">
            <w:pPr>
              <w:rPr>
                <w:rFonts w:ascii="Calibri" w:eastAsia="Times New Roman" w:hAnsi="Calibri" w:cs="Calibri"/>
                <w:color w:val="000000"/>
              </w:rPr>
            </w:pPr>
          </w:p>
        </w:tc>
      </w:tr>
      <w:tr w:rsidR="00992191" w14:paraId="55209ECD" w14:textId="77777777" w:rsidTr="00322CC7">
        <w:trPr>
          <w:jc w:val="center"/>
        </w:trPr>
        <w:tc>
          <w:tcPr>
            <w:tcW w:w="2690" w:type="dxa"/>
          </w:tcPr>
          <w:p w14:paraId="1B12985A" w14:textId="776E5FD2" w:rsidR="00992191" w:rsidRPr="00992191" w:rsidRDefault="00992191" w:rsidP="00992191">
            <w:pPr>
              <w:rPr>
                <w:rFonts w:ascii="Calibri" w:eastAsia="Times New Roman" w:hAnsi="Calibri" w:cs="Calibri"/>
                <w:b/>
                <w:color w:val="0D0D0D" w:themeColor="text1" w:themeTint="F2"/>
              </w:rPr>
            </w:pPr>
            <w:r>
              <w:rPr>
                <w:rFonts w:ascii="Calibri" w:eastAsia="Times New Roman" w:hAnsi="Calibri" w:cs="Calibri"/>
                <w:b/>
                <w:color w:val="0D0D0D" w:themeColor="text1" w:themeTint="F2"/>
              </w:rPr>
              <w:t>Disciplinary Policy</w:t>
            </w:r>
          </w:p>
        </w:tc>
        <w:tc>
          <w:tcPr>
            <w:tcW w:w="2330" w:type="dxa"/>
          </w:tcPr>
          <w:p w14:paraId="07D3399B"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Director of Operations</w:t>
            </w:r>
          </w:p>
          <w:p w14:paraId="336B6BFE" w14:textId="4D55A4A8"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HR Connect</w:t>
            </w:r>
          </w:p>
        </w:tc>
        <w:tc>
          <w:tcPr>
            <w:tcW w:w="7875" w:type="dxa"/>
          </w:tcPr>
          <w:p w14:paraId="60451F5E" w14:textId="4D6A87AE" w:rsidR="00992191" w:rsidRPr="00992191" w:rsidRDefault="00992191" w:rsidP="00992191">
            <w:pPr>
              <w:rPr>
                <w:rFonts w:ascii="Calibri" w:eastAsia="Times New Roman" w:hAnsi="Calibri" w:cs="Calibri"/>
                <w:color w:val="000000"/>
              </w:rPr>
            </w:pPr>
            <w:r>
              <w:rPr>
                <w:rFonts w:ascii="Calibri" w:eastAsia="Times New Roman" w:hAnsi="Calibri" w:cs="Calibri"/>
                <w:color w:val="000000"/>
              </w:rPr>
              <w:t>Originally, this</w:t>
            </w:r>
            <w:r w:rsidRPr="00992191">
              <w:rPr>
                <w:rFonts w:ascii="Calibri" w:eastAsia="Times New Roman" w:hAnsi="Calibri" w:cs="Calibri"/>
                <w:color w:val="000000"/>
              </w:rPr>
              <w:t xml:space="preserve"> was wrapped in with capability, but the Trust has recognised that these are two very different policies and procedures.  Since moving to HR Connect, given the level of support that they provide for these more challenging procedures, we wanted to ensure that our policy aligned with theirs, as again, they are experts in their field, and as part of the SLA provide templates that can be adopted.  All of the HR Connect policies have been in consultation with Kent local Trade Union Representatives.</w:t>
            </w:r>
          </w:p>
          <w:p w14:paraId="56D133A9"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w:t>
            </w:r>
          </w:p>
          <w:p w14:paraId="32B7C46B"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The policy is very strong, direct, with good example thresholds regarding gross misconduct and misconduct.  That being said, there is still clear alignment with our own policy, and does not move far away from our current procedures.  We will however be sending this policy, along with the code of conduct and the capability policy to the West Sussex and Surrey local trade union representatives as a courtesy.</w:t>
            </w:r>
          </w:p>
          <w:p w14:paraId="4EF71789"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w:t>
            </w:r>
          </w:p>
          <w:p w14:paraId="784EB45D" w14:textId="77777777"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lastRenderedPageBreak/>
              <w:t>Due to the direct nature of the policy, it has been a requirement to update our Scheme of Delegation to reflect the areas of responsibility in terms of panels and appeal panels.</w:t>
            </w:r>
          </w:p>
          <w:p w14:paraId="3B1ACB10" w14:textId="7B5F62E7" w:rsidR="00992191" w:rsidRPr="00992191" w:rsidRDefault="00992191" w:rsidP="00992191">
            <w:pPr>
              <w:rPr>
                <w:rFonts w:ascii="Calibri" w:eastAsia="Times New Roman" w:hAnsi="Calibri" w:cs="Calibri"/>
                <w:color w:val="000000"/>
              </w:rPr>
            </w:pPr>
          </w:p>
        </w:tc>
        <w:tc>
          <w:tcPr>
            <w:tcW w:w="1842" w:type="dxa"/>
          </w:tcPr>
          <w:p w14:paraId="0DECEBD9" w14:textId="741C43BB" w:rsidR="00992191" w:rsidRPr="00992191" w:rsidRDefault="00992191" w:rsidP="00992191">
            <w:pPr>
              <w:rPr>
                <w:rFonts w:ascii="Calibri" w:eastAsia="Times New Roman" w:hAnsi="Calibri" w:cs="Calibri"/>
                <w:color w:val="000000"/>
              </w:rPr>
            </w:pPr>
          </w:p>
        </w:tc>
      </w:tr>
      <w:tr w:rsidR="00992191" w14:paraId="38E8FE69" w14:textId="7D3DC68E" w:rsidTr="00322CC7">
        <w:trPr>
          <w:jc w:val="center"/>
        </w:trPr>
        <w:tc>
          <w:tcPr>
            <w:tcW w:w="2690" w:type="dxa"/>
          </w:tcPr>
          <w:p w14:paraId="2012F257" w14:textId="75B684AA" w:rsidR="00992191" w:rsidRPr="00992191" w:rsidRDefault="00992191" w:rsidP="00992191">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Growing Great Teachers</w:t>
            </w:r>
          </w:p>
        </w:tc>
        <w:tc>
          <w:tcPr>
            <w:tcW w:w="2330" w:type="dxa"/>
          </w:tcPr>
          <w:p w14:paraId="11E7CA00" w14:textId="760C6CC2"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Director of Education</w:t>
            </w:r>
          </w:p>
        </w:tc>
        <w:tc>
          <w:tcPr>
            <w:tcW w:w="7875" w:type="dxa"/>
          </w:tcPr>
          <w:p w14:paraId="043D260A" w14:textId="55B54A2F"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xml:space="preserve">Changes made to the initial concerns/informal support process which sits within the appraisal process </w:t>
            </w:r>
          </w:p>
        </w:tc>
        <w:tc>
          <w:tcPr>
            <w:tcW w:w="1842" w:type="dxa"/>
          </w:tcPr>
          <w:p w14:paraId="45F729BA" w14:textId="26EBC2B8"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Changes are highlighted in green within document</w:t>
            </w:r>
          </w:p>
        </w:tc>
      </w:tr>
      <w:tr w:rsidR="00E2717E" w14:paraId="3D11C53F" w14:textId="77777777" w:rsidTr="00322CC7">
        <w:trPr>
          <w:jc w:val="center"/>
        </w:trPr>
        <w:tc>
          <w:tcPr>
            <w:tcW w:w="2690" w:type="dxa"/>
          </w:tcPr>
          <w:p w14:paraId="564AB995" w14:textId="479A31A0" w:rsidR="00E2717E" w:rsidRPr="00992191" w:rsidRDefault="00E2717E" w:rsidP="00D06BC3">
            <w:pPr>
              <w:rPr>
                <w:rFonts w:ascii="Calibri" w:eastAsia="Times New Roman" w:hAnsi="Calibri" w:cs="Calibri"/>
                <w:b/>
                <w:color w:val="0D0D0D" w:themeColor="text1" w:themeTint="F2"/>
              </w:rPr>
            </w:pPr>
            <w:r>
              <w:rPr>
                <w:rFonts w:ascii="Calibri" w:eastAsia="Times New Roman" w:hAnsi="Calibri" w:cs="Calibri"/>
                <w:b/>
                <w:color w:val="0D0D0D" w:themeColor="text1" w:themeTint="F2"/>
              </w:rPr>
              <w:t xml:space="preserve">Special Leave Policy &amp; Procedure </w:t>
            </w:r>
          </w:p>
        </w:tc>
        <w:tc>
          <w:tcPr>
            <w:tcW w:w="2330" w:type="dxa"/>
          </w:tcPr>
          <w:p w14:paraId="0BBE78B3" w14:textId="015B54F1" w:rsidR="00E2717E" w:rsidRPr="00992191" w:rsidRDefault="00E2717E" w:rsidP="00992191">
            <w:pPr>
              <w:rPr>
                <w:rFonts w:ascii="Calibri" w:eastAsia="Times New Roman" w:hAnsi="Calibri" w:cs="Calibri"/>
                <w:color w:val="000000"/>
              </w:rPr>
            </w:pPr>
            <w:r>
              <w:rPr>
                <w:rFonts w:ascii="Calibri" w:eastAsia="Times New Roman" w:hAnsi="Calibri" w:cs="Calibri"/>
                <w:color w:val="000000"/>
              </w:rPr>
              <w:t>Direct</w:t>
            </w:r>
            <w:bookmarkStart w:id="0" w:name="_GoBack"/>
            <w:bookmarkEnd w:id="0"/>
            <w:r>
              <w:rPr>
                <w:rFonts w:ascii="Calibri" w:eastAsia="Times New Roman" w:hAnsi="Calibri" w:cs="Calibri"/>
                <w:color w:val="000000"/>
              </w:rPr>
              <w:t>or of Operations</w:t>
            </w:r>
          </w:p>
        </w:tc>
        <w:tc>
          <w:tcPr>
            <w:tcW w:w="7875" w:type="dxa"/>
          </w:tcPr>
          <w:p w14:paraId="25293043" w14:textId="0DF68053" w:rsidR="00E2717E" w:rsidRPr="00992191" w:rsidRDefault="00E2717E" w:rsidP="00E2717E">
            <w:pPr>
              <w:rPr>
                <w:rFonts w:ascii="Calibri" w:eastAsia="Times New Roman" w:hAnsi="Calibri" w:cs="Calibri"/>
                <w:color w:val="000000"/>
              </w:rPr>
            </w:pPr>
            <w:r>
              <w:rPr>
                <w:rFonts w:ascii="Calibri" w:eastAsia="Times New Roman" w:hAnsi="Calibri" w:cs="Calibri"/>
                <w:color w:val="000000"/>
              </w:rPr>
              <w:t xml:space="preserve">This is another of HR Connect’s suite of policies which the Trust is choosing to adopt. This has been reviewed by </w:t>
            </w:r>
            <w:proofErr w:type="spellStart"/>
            <w:r>
              <w:rPr>
                <w:rFonts w:ascii="Calibri" w:eastAsia="Times New Roman" w:hAnsi="Calibri" w:cs="Calibri"/>
                <w:color w:val="000000"/>
              </w:rPr>
              <w:t>DoF</w:t>
            </w:r>
            <w:proofErr w:type="spellEnd"/>
            <w:r>
              <w:rPr>
                <w:rFonts w:ascii="Calibri" w:eastAsia="Times New Roman" w:hAnsi="Calibri" w:cs="Calibri"/>
                <w:color w:val="000000"/>
              </w:rPr>
              <w:t xml:space="preserve"> in the </w:t>
            </w:r>
            <w:proofErr w:type="spellStart"/>
            <w:r>
              <w:rPr>
                <w:rFonts w:ascii="Calibri" w:eastAsia="Times New Roman" w:hAnsi="Calibri" w:cs="Calibri"/>
                <w:color w:val="000000"/>
              </w:rPr>
              <w:t>DoO’s</w:t>
            </w:r>
            <w:proofErr w:type="spellEnd"/>
            <w:r>
              <w:rPr>
                <w:rFonts w:ascii="Calibri" w:eastAsia="Times New Roman" w:hAnsi="Calibri" w:cs="Calibri"/>
                <w:color w:val="000000"/>
              </w:rPr>
              <w:t xml:space="preserve"> absence, and she is satisfied that it is a strong clear policy fit for purpose. </w:t>
            </w:r>
          </w:p>
        </w:tc>
        <w:tc>
          <w:tcPr>
            <w:tcW w:w="1842" w:type="dxa"/>
          </w:tcPr>
          <w:p w14:paraId="382D4DE3" w14:textId="77777777" w:rsidR="00E2717E" w:rsidRPr="00992191" w:rsidRDefault="00E2717E" w:rsidP="00992191">
            <w:pPr>
              <w:rPr>
                <w:rFonts w:ascii="Calibri" w:eastAsia="Times New Roman" w:hAnsi="Calibri" w:cs="Calibri"/>
                <w:color w:val="000000"/>
              </w:rPr>
            </w:pPr>
          </w:p>
        </w:tc>
      </w:tr>
      <w:tr w:rsidR="00992191" w14:paraId="4F15AA11" w14:textId="0CF6BF5B" w:rsidTr="00322CC7">
        <w:trPr>
          <w:jc w:val="center"/>
        </w:trPr>
        <w:tc>
          <w:tcPr>
            <w:tcW w:w="2690" w:type="dxa"/>
          </w:tcPr>
          <w:p w14:paraId="62D7BE3B" w14:textId="5564FF78" w:rsidR="00992191" w:rsidRPr="00992191" w:rsidRDefault="00992191" w:rsidP="00992191">
            <w:pPr>
              <w:rPr>
                <w:rFonts w:ascii="Calibri" w:eastAsia="Times New Roman" w:hAnsi="Calibri" w:cs="Calibri"/>
                <w:b/>
                <w:color w:val="0D0D0D" w:themeColor="text1" w:themeTint="F2"/>
              </w:rPr>
            </w:pPr>
            <w:r w:rsidRPr="00992191">
              <w:rPr>
                <w:rFonts w:ascii="Calibri" w:eastAsia="Times New Roman" w:hAnsi="Calibri" w:cs="Calibri"/>
                <w:b/>
                <w:color w:val="0D0D0D" w:themeColor="text1" w:themeTint="F2"/>
              </w:rPr>
              <w:t>Scheme of Delegation</w:t>
            </w:r>
          </w:p>
        </w:tc>
        <w:tc>
          <w:tcPr>
            <w:tcW w:w="2330" w:type="dxa"/>
          </w:tcPr>
          <w:p w14:paraId="09A9CF1A" w14:textId="1C5CC4D2"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CEO</w:t>
            </w:r>
          </w:p>
        </w:tc>
        <w:tc>
          <w:tcPr>
            <w:tcW w:w="7875" w:type="dxa"/>
          </w:tcPr>
          <w:p w14:paraId="527AE0FA" w14:textId="5CE88955" w:rsidR="00992191" w:rsidRPr="00992191" w:rsidRDefault="00992191" w:rsidP="00992191">
            <w:pPr>
              <w:rPr>
                <w:rFonts w:ascii="Calibri" w:eastAsia="Times New Roman" w:hAnsi="Calibri" w:cs="Calibri"/>
                <w:color w:val="000000"/>
              </w:rPr>
            </w:pPr>
            <w:r w:rsidRPr="00992191">
              <w:rPr>
                <w:rFonts w:ascii="Calibri" w:eastAsia="Times New Roman" w:hAnsi="Calibri" w:cs="Calibri"/>
                <w:color w:val="000000"/>
              </w:rPr>
              <w:t xml:space="preserve">Full list of changes noted in Change Control sheet at start of document </w:t>
            </w:r>
          </w:p>
        </w:tc>
        <w:tc>
          <w:tcPr>
            <w:tcW w:w="1842" w:type="dxa"/>
          </w:tcPr>
          <w:p w14:paraId="7117C200" w14:textId="13C6B3B4" w:rsidR="00992191" w:rsidRPr="00992191" w:rsidRDefault="00992191" w:rsidP="00992191">
            <w:pPr>
              <w:rPr>
                <w:rFonts w:ascii="Calibri" w:eastAsia="Times New Roman" w:hAnsi="Calibri" w:cs="Calibri"/>
                <w:color w:val="000000"/>
              </w:rPr>
            </w:pPr>
          </w:p>
        </w:tc>
      </w:tr>
    </w:tbl>
    <w:p w14:paraId="4D5C0657" w14:textId="5E6C1557" w:rsidR="00B547AC" w:rsidRDefault="00B547AC" w:rsidP="006F1A05">
      <w:pPr>
        <w:rPr>
          <w:rFonts w:ascii="Calibri" w:eastAsia="Times New Roman" w:hAnsi="Calibri" w:cs="Calibri"/>
          <w:color w:val="000000"/>
        </w:rPr>
      </w:pPr>
    </w:p>
    <w:p w14:paraId="737B8D5C" w14:textId="77777777" w:rsidR="00B547AC" w:rsidRDefault="00B547AC" w:rsidP="006F1A05">
      <w:pPr>
        <w:rPr>
          <w:rFonts w:ascii="Calibri" w:eastAsia="Times New Roman" w:hAnsi="Calibri" w:cs="Calibri"/>
          <w:color w:val="000000"/>
        </w:rPr>
      </w:pPr>
    </w:p>
    <w:p w14:paraId="34455661" w14:textId="77777777" w:rsidR="00B547AC" w:rsidRDefault="00B547AC" w:rsidP="00EC1DBB">
      <w:pPr>
        <w:spacing w:after="0"/>
        <w:rPr>
          <w:b/>
        </w:rPr>
      </w:pPr>
    </w:p>
    <w:p w14:paraId="662DF5C5" w14:textId="77777777" w:rsidR="00B547AC" w:rsidRDefault="00B547AC" w:rsidP="00EC1DBB">
      <w:pPr>
        <w:spacing w:after="0"/>
        <w:rPr>
          <w:b/>
        </w:rPr>
      </w:pPr>
    </w:p>
    <w:p w14:paraId="36FE828A" w14:textId="77777777" w:rsidR="00B547AC" w:rsidRDefault="00B547AC" w:rsidP="00EC1DBB">
      <w:pPr>
        <w:spacing w:after="0"/>
        <w:rPr>
          <w:b/>
        </w:rPr>
      </w:pPr>
    </w:p>
    <w:sectPr w:rsidR="00B547AC" w:rsidSect="00B547AC">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6C245" w14:textId="77777777" w:rsidR="00FE013D" w:rsidRDefault="00FE013D" w:rsidP="00B872AF">
      <w:pPr>
        <w:spacing w:after="0" w:line="240" w:lineRule="auto"/>
      </w:pPr>
      <w:r>
        <w:separator/>
      </w:r>
    </w:p>
  </w:endnote>
  <w:endnote w:type="continuationSeparator" w:id="0">
    <w:p w14:paraId="55EDBEA9" w14:textId="77777777" w:rsidR="00FE013D" w:rsidRDefault="00FE013D" w:rsidP="00B8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AC11" w14:textId="77777777" w:rsidR="00FE013D" w:rsidRDefault="00FE013D" w:rsidP="00B872AF">
      <w:pPr>
        <w:spacing w:after="0" w:line="240" w:lineRule="auto"/>
      </w:pPr>
      <w:r>
        <w:separator/>
      </w:r>
    </w:p>
  </w:footnote>
  <w:footnote w:type="continuationSeparator" w:id="0">
    <w:p w14:paraId="2CA491AA" w14:textId="77777777" w:rsidR="00FE013D" w:rsidRDefault="00FE013D" w:rsidP="00B8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9DA5" w14:textId="33F8E82E" w:rsidR="00B872AF" w:rsidRDefault="00B872AF">
    <w:pPr>
      <w:pStyle w:val="Header"/>
    </w:pPr>
    <w:r>
      <w:rPr>
        <w:noProof/>
        <w:lang w:eastAsia="en-GB"/>
      </w:rPr>
      <w:drawing>
        <wp:inline distT="0" distB="0" distL="0" distR="0" wp14:anchorId="4AE03C25" wp14:editId="17703375">
          <wp:extent cx="2103801" cy="10427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3629" cy="1052581"/>
                  </a:xfrm>
                  <a:prstGeom prst="rect">
                    <a:avLst/>
                  </a:prstGeom>
                  <a:noFill/>
                  <a:ln>
                    <a:noFill/>
                  </a:ln>
                </pic:spPr>
              </pic:pic>
            </a:graphicData>
          </a:graphic>
        </wp:inline>
      </w:drawing>
    </w:r>
  </w:p>
  <w:p w14:paraId="0D538882" w14:textId="77777777" w:rsidR="00B872AF" w:rsidRDefault="00B8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01D"/>
    <w:multiLevelType w:val="hybridMultilevel"/>
    <w:tmpl w:val="DAE6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5E22"/>
    <w:multiLevelType w:val="multilevel"/>
    <w:tmpl w:val="0888B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49"/>
    <w:rsid w:val="000344E6"/>
    <w:rsid w:val="00053173"/>
    <w:rsid w:val="00065D56"/>
    <w:rsid w:val="000E706E"/>
    <w:rsid w:val="001235FD"/>
    <w:rsid w:val="001269CC"/>
    <w:rsid w:val="0013738E"/>
    <w:rsid w:val="00155442"/>
    <w:rsid w:val="00155BA9"/>
    <w:rsid w:val="001B4EBC"/>
    <w:rsid w:val="001D69FF"/>
    <w:rsid w:val="001E669A"/>
    <w:rsid w:val="001F2DEB"/>
    <w:rsid w:val="00215B6E"/>
    <w:rsid w:val="002454E6"/>
    <w:rsid w:val="002769F4"/>
    <w:rsid w:val="00290AA0"/>
    <w:rsid w:val="002A7646"/>
    <w:rsid w:val="002F13E2"/>
    <w:rsid w:val="00300839"/>
    <w:rsid w:val="00322CC7"/>
    <w:rsid w:val="00327B94"/>
    <w:rsid w:val="00340ABD"/>
    <w:rsid w:val="00375878"/>
    <w:rsid w:val="00392294"/>
    <w:rsid w:val="00395539"/>
    <w:rsid w:val="003C2ED2"/>
    <w:rsid w:val="004062FC"/>
    <w:rsid w:val="00435DE1"/>
    <w:rsid w:val="0045064A"/>
    <w:rsid w:val="00453C6E"/>
    <w:rsid w:val="00516665"/>
    <w:rsid w:val="0054255D"/>
    <w:rsid w:val="00565914"/>
    <w:rsid w:val="00565E59"/>
    <w:rsid w:val="006B5AC3"/>
    <w:rsid w:val="006C429F"/>
    <w:rsid w:val="006F1A05"/>
    <w:rsid w:val="006F4CA2"/>
    <w:rsid w:val="00731882"/>
    <w:rsid w:val="007452F2"/>
    <w:rsid w:val="00757722"/>
    <w:rsid w:val="0078582C"/>
    <w:rsid w:val="0080252F"/>
    <w:rsid w:val="008B7E94"/>
    <w:rsid w:val="008D3D40"/>
    <w:rsid w:val="00992191"/>
    <w:rsid w:val="009B0FE8"/>
    <w:rsid w:val="009B5D15"/>
    <w:rsid w:val="00A075A5"/>
    <w:rsid w:val="00A173E7"/>
    <w:rsid w:val="00A34282"/>
    <w:rsid w:val="00A83B76"/>
    <w:rsid w:val="00AA0316"/>
    <w:rsid w:val="00AC463C"/>
    <w:rsid w:val="00B2628A"/>
    <w:rsid w:val="00B547AC"/>
    <w:rsid w:val="00B872AF"/>
    <w:rsid w:val="00B93117"/>
    <w:rsid w:val="00BB78F9"/>
    <w:rsid w:val="00BF1AE7"/>
    <w:rsid w:val="00C45712"/>
    <w:rsid w:val="00C933F1"/>
    <w:rsid w:val="00CC21A7"/>
    <w:rsid w:val="00CD2C1B"/>
    <w:rsid w:val="00D06BC3"/>
    <w:rsid w:val="00D2034E"/>
    <w:rsid w:val="00D30249"/>
    <w:rsid w:val="00D65A61"/>
    <w:rsid w:val="00D76CBB"/>
    <w:rsid w:val="00E2717E"/>
    <w:rsid w:val="00EC1DBB"/>
    <w:rsid w:val="00EE3BDC"/>
    <w:rsid w:val="00F152EC"/>
    <w:rsid w:val="00F31726"/>
    <w:rsid w:val="00F4274B"/>
    <w:rsid w:val="00F6596E"/>
    <w:rsid w:val="00F73E1B"/>
    <w:rsid w:val="00FE013D"/>
    <w:rsid w:val="12C50F5B"/>
    <w:rsid w:val="3D30D76D"/>
    <w:rsid w:val="659AB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0F11"/>
  <w15:chartTrackingRefBased/>
  <w15:docId w15:val="{E4B4C5D7-A61A-4344-BA77-9D1F475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74B"/>
    <w:pPr>
      <w:ind w:left="720"/>
      <w:contextualSpacing/>
    </w:pPr>
  </w:style>
  <w:style w:type="paragraph" w:styleId="Header">
    <w:name w:val="header"/>
    <w:basedOn w:val="Normal"/>
    <w:link w:val="HeaderChar"/>
    <w:uiPriority w:val="99"/>
    <w:unhideWhenUsed/>
    <w:rsid w:val="00B8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2AF"/>
  </w:style>
  <w:style w:type="paragraph" w:styleId="Footer">
    <w:name w:val="footer"/>
    <w:basedOn w:val="Normal"/>
    <w:link w:val="FooterChar"/>
    <w:uiPriority w:val="99"/>
    <w:unhideWhenUsed/>
    <w:rsid w:val="00B8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2AF"/>
  </w:style>
  <w:style w:type="paragraph" w:customStyle="1" w:styleId="elementtoproof">
    <w:name w:val="elementtoproof"/>
    <w:basedOn w:val="Normal"/>
    <w:rsid w:val="0039553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408">
      <w:bodyDiv w:val="1"/>
      <w:marLeft w:val="0"/>
      <w:marRight w:val="0"/>
      <w:marTop w:val="0"/>
      <w:marBottom w:val="0"/>
      <w:divBdr>
        <w:top w:val="none" w:sz="0" w:space="0" w:color="auto"/>
        <w:left w:val="none" w:sz="0" w:space="0" w:color="auto"/>
        <w:bottom w:val="none" w:sz="0" w:space="0" w:color="auto"/>
        <w:right w:val="none" w:sz="0" w:space="0" w:color="auto"/>
      </w:divBdr>
    </w:div>
    <w:div w:id="294987478">
      <w:bodyDiv w:val="1"/>
      <w:marLeft w:val="0"/>
      <w:marRight w:val="0"/>
      <w:marTop w:val="0"/>
      <w:marBottom w:val="0"/>
      <w:divBdr>
        <w:top w:val="none" w:sz="0" w:space="0" w:color="auto"/>
        <w:left w:val="none" w:sz="0" w:space="0" w:color="auto"/>
        <w:bottom w:val="none" w:sz="0" w:space="0" w:color="auto"/>
        <w:right w:val="none" w:sz="0" w:space="0" w:color="auto"/>
      </w:divBdr>
    </w:div>
    <w:div w:id="335421028">
      <w:bodyDiv w:val="1"/>
      <w:marLeft w:val="0"/>
      <w:marRight w:val="0"/>
      <w:marTop w:val="0"/>
      <w:marBottom w:val="0"/>
      <w:divBdr>
        <w:top w:val="none" w:sz="0" w:space="0" w:color="auto"/>
        <w:left w:val="none" w:sz="0" w:space="0" w:color="auto"/>
        <w:bottom w:val="none" w:sz="0" w:space="0" w:color="auto"/>
        <w:right w:val="none" w:sz="0" w:space="0" w:color="auto"/>
      </w:divBdr>
    </w:div>
    <w:div w:id="425659415">
      <w:bodyDiv w:val="1"/>
      <w:marLeft w:val="0"/>
      <w:marRight w:val="0"/>
      <w:marTop w:val="0"/>
      <w:marBottom w:val="0"/>
      <w:divBdr>
        <w:top w:val="none" w:sz="0" w:space="0" w:color="auto"/>
        <w:left w:val="none" w:sz="0" w:space="0" w:color="auto"/>
        <w:bottom w:val="none" w:sz="0" w:space="0" w:color="auto"/>
        <w:right w:val="none" w:sz="0" w:space="0" w:color="auto"/>
      </w:divBdr>
    </w:div>
    <w:div w:id="476533867">
      <w:bodyDiv w:val="1"/>
      <w:marLeft w:val="0"/>
      <w:marRight w:val="0"/>
      <w:marTop w:val="0"/>
      <w:marBottom w:val="0"/>
      <w:divBdr>
        <w:top w:val="none" w:sz="0" w:space="0" w:color="auto"/>
        <w:left w:val="none" w:sz="0" w:space="0" w:color="auto"/>
        <w:bottom w:val="none" w:sz="0" w:space="0" w:color="auto"/>
        <w:right w:val="none" w:sz="0" w:space="0" w:color="auto"/>
      </w:divBdr>
    </w:div>
    <w:div w:id="707031826">
      <w:bodyDiv w:val="1"/>
      <w:marLeft w:val="0"/>
      <w:marRight w:val="0"/>
      <w:marTop w:val="0"/>
      <w:marBottom w:val="0"/>
      <w:divBdr>
        <w:top w:val="none" w:sz="0" w:space="0" w:color="auto"/>
        <w:left w:val="none" w:sz="0" w:space="0" w:color="auto"/>
        <w:bottom w:val="none" w:sz="0" w:space="0" w:color="auto"/>
        <w:right w:val="none" w:sz="0" w:space="0" w:color="auto"/>
      </w:divBdr>
    </w:div>
    <w:div w:id="768698999">
      <w:bodyDiv w:val="1"/>
      <w:marLeft w:val="0"/>
      <w:marRight w:val="0"/>
      <w:marTop w:val="0"/>
      <w:marBottom w:val="0"/>
      <w:divBdr>
        <w:top w:val="none" w:sz="0" w:space="0" w:color="auto"/>
        <w:left w:val="none" w:sz="0" w:space="0" w:color="auto"/>
        <w:bottom w:val="none" w:sz="0" w:space="0" w:color="auto"/>
        <w:right w:val="none" w:sz="0" w:space="0" w:color="auto"/>
      </w:divBdr>
    </w:div>
    <w:div w:id="1002854061">
      <w:bodyDiv w:val="1"/>
      <w:marLeft w:val="0"/>
      <w:marRight w:val="0"/>
      <w:marTop w:val="0"/>
      <w:marBottom w:val="0"/>
      <w:divBdr>
        <w:top w:val="none" w:sz="0" w:space="0" w:color="auto"/>
        <w:left w:val="none" w:sz="0" w:space="0" w:color="auto"/>
        <w:bottom w:val="none" w:sz="0" w:space="0" w:color="auto"/>
        <w:right w:val="none" w:sz="0" w:space="0" w:color="auto"/>
      </w:divBdr>
    </w:div>
    <w:div w:id="13102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31573f-48db-4004-978e-3abfef64b2cd">
      <Terms xmlns="http://schemas.microsoft.com/office/infopath/2007/PartnerControls"/>
    </lcf76f155ced4ddcb4097134ff3c332f>
    <TaxCatchAll xmlns="01f65fdb-016f-40e2-9043-dac7bc4d4d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66F0C8B6EFD47938E4BF662BD8A4E" ma:contentTypeVersion="15" ma:contentTypeDescription="Create a new document." ma:contentTypeScope="" ma:versionID="8adc169af46862090ac4b31411f1c6c2">
  <xsd:schema xmlns:xsd="http://www.w3.org/2001/XMLSchema" xmlns:xs="http://www.w3.org/2001/XMLSchema" xmlns:p="http://schemas.microsoft.com/office/2006/metadata/properties" xmlns:ns2="1b31573f-48db-4004-978e-3abfef64b2cd" xmlns:ns3="01f65fdb-016f-40e2-9043-dac7bc4d4d4b" targetNamespace="http://schemas.microsoft.com/office/2006/metadata/properties" ma:root="true" ma:fieldsID="8d443c2b2858631583a503f0157eb3a2" ns2:_="" ns3:_="">
    <xsd:import namespace="1b31573f-48db-4004-978e-3abfef64b2cd"/>
    <xsd:import namespace="01f65fdb-016f-40e2-9043-dac7bc4d4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573f-48db-4004-978e-3abfef64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a48e29-92bf-4475-9468-46f87a2504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65fdb-016f-40e2-9043-dac7bc4d4d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7edff7-90fc-4a64-b706-a2655eb03904}" ma:internalName="TaxCatchAll" ma:showField="CatchAllData" ma:web="01f65fdb-016f-40e2-9043-dac7bc4d4d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22AC-992A-4E20-86A0-8690970E6560}">
  <ds:schemaRefs>
    <ds:schemaRef ds:uri="http://schemas.microsoft.com/sharepoint/v3/contenttype/forms"/>
  </ds:schemaRefs>
</ds:datastoreItem>
</file>

<file path=customXml/itemProps2.xml><?xml version="1.0" encoding="utf-8"?>
<ds:datastoreItem xmlns:ds="http://schemas.openxmlformats.org/officeDocument/2006/customXml" ds:itemID="{8D332B67-CA08-4A51-A85A-273D11BD3830}">
  <ds:schemaRefs>
    <ds:schemaRef ds:uri="http://schemas.microsoft.com/office/2006/metadata/properties"/>
    <ds:schemaRef ds:uri="http://schemas.microsoft.com/office/infopath/2007/PartnerControls"/>
    <ds:schemaRef ds:uri="1b31573f-48db-4004-978e-3abfef64b2cd"/>
    <ds:schemaRef ds:uri="01f65fdb-016f-40e2-9043-dac7bc4d4d4b"/>
  </ds:schemaRefs>
</ds:datastoreItem>
</file>

<file path=customXml/itemProps3.xml><?xml version="1.0" encoding="utf-8"?>
<ds:datastoreItem xmlns:ds="http://schemas.openxmlformats.org/officeDocument/2006/customXml" ds:itemID="{A07B988B-B36C-4CAF-B17E-04927176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573f-48db-4004-978e-3abfef64b2cd"/>
    <ds:schemaRef ds:uri="01f65fdb-016f-40e2-9043-dac7bc4d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7B4A5-0DB2-4C10-991B-4A05677A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Hatchlands Primary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 Ponte</dc:creator>
  <cp:keywords/>
  <dc:description/>
  <cp:lastModifiedBy>Anita De Ponte</cp:lastModifiedBy>
  <cp:revision>10</cp:revision>
  <dcterms:created xsi:type="dcterms:W3CDTF">2024-07-02T10:27:00Z</dcterms:created>
  <dcterms:modified xsi:type="dcterms:W3CDTF">2024-07-05T12:53:00Z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0x010100D2366F0C8B6EFD47938E4BF662BD8A4E</vt:lpwstr>
  </property>
  <property fmtid="{D5CDD505-2E9C-101B-9397-08002B2CF9AE}" pid="3" name="MediaServiceImageTags">
    <vt:lpwstr/>
  </property>
</Properties>
</file>